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财务会计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一、</w:t>
      </w:r>
      <w:r>
        <w:rPr>
          <w:rFonts w:hint="eastAsia"/>
          <w:sz w:val="24"/>
          <w:szCs w:val="24"/>
        </w:rPr>
        <w:t>原材料核算的实际成本法与计划成本法有何不同，在账户设置上又有什么不同之处？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/>
          <w:sz w:val="24"/>
          <w:szCs w:val="24"/>
          <w:lang w:val="en-US" w:eastAsia="zh-CN"/>
        </w:rPr>
        <w:t>二、</w:t>
      </w:r>
      <w:r>
        <w:rPr>
          <w:rFonts w:hint="eastAsia"/>
          <w:sz w:val="24"/>
          <w:szCs w:val="24"/>
        </w:rPr>
        <w:t>如何对</w:t>
      </w:r>
      <w:bookmarkStart w:id="0" w:name="_GoBack"/>
      <w:bookmarkEnd w:id="0"/>
      <w:r>
        <w:rPr>
          <w:rFonts w:hint="eastAsia"/>
          <w:sz w:val="24"/>
          <w:szCs w:val="24"/>
        </w:rPr>
        <w:t>交易性金融资产进行核算？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wNzJiNDliMzcwMjc1NmFhZDQ3MjZkZjUyMGU2ZGYifQ=="/>
  </w:docVars>
  <w:rsids>
    <w:rsidRoot w:val="00000000"/>
    <w:rsid w:val="5052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2023-11-27T00:59:13Z</dcterms:created>
  <dc:creator>Administrator</dc:creator>
  <cp:lastModifiedBy>Eigenname</cp:lastModifiedBy>
  <dcterms:modified xsi:type="dcterms:W3CDTF">2023-11-27T01:00:54Z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571000FD0D0A4AC0AE3243878DE047D5_12</vt:lpwstr>
  </property>
</Properties>
</file>